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466" w:beforeLines="80" w:after="292" w:afterLines="50" w:line="500" w:lineRule="exact"/>
        <w:jc w:val="center"/>
        <w:textAlignment w:val="auto"/>
        <w:rPr>
          <w:rFonts w:hint="eastAsia" w:ascii="方正黑体_GBK" w:hAnsi="方正黑体_GBK" w:eastAsia="方正黑体_GBK" w:cs="方正黑体_GBK"/>
          <w:szCs w:val="32"/>
          <w:highlight w:val="none"/>
        </w:rPr>
      </w:pPr>
      <w:bookmarkStart w:id="0" w:name="_GoBack"/>
      <w:bookmarkEnd w:id="0"/>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临汾供电</w:t>
      </w:r>
      <w:r>
        <w:rPr>
          <w:rFonts w:hint="eastAsia" w:ascii="方正小标宋_GBK" w:hAnsi="方正小标宋_GBK" w:eastAsia="方正小标宋_GBK" w:cs="方正小标宋_GBK"/>
          <w:bCs/>
          <w:sz w:val="44"/>
          <w:szCs w:val="24"/>
          <w:highlight w:val="none"/>
        </w:rPr>
        <w:t>公司信息公开工作目录</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2"/>
        <w:gridCol w:w="850"/>
        <w:gridCol w:w="693"/>
        <w:gridCol w:w="1831"/>
        <w:gridCol w:w="1787"/>
        <w:gridCol w:w="1215"/>
        <w:gridCol w:w="20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62"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公开事项</w:t>
            </w:r>
          </w:p>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类别</w:t>
            </w:r>
          </w:p>
        </w:tc>
        <w:tc>
          <w:tcPr>
            <w:tcW w:w="2524"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公开事项内容</w:t>
            </w:r>
          </w:p>
        </w:tc>
        <w:tc>
          <w:tcPr>
            <w:tcW w:w="1787"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jc w:val="center"/>
              <w:textAlignment w:val="auto"/>
              <w:rPr>
                <w:rFonts w:hint="eastAsia" w:ascii="方正仿宋_GBK" w:hAnsi="方正仿宋_GBK" w:eastAsia="方正仿宋_GBK" w:cs="方正仿宋_GBK"/>
                <w:b/>
                <w:bCs/>
                <w:spacing w:val="-6"/>
                <w:sz w:val="21"/>
                <w:szCs w:val="21"/>
                <w:highlight w:val="none"/>
              </w:rPr>
            </w:pPr>
            <w:r>
              <w:rPr>
                <w:rFonts w:hint="eastAsia" w:ascii="方正仿宋_GBK" w:hAnsi="方正仿宋_GBK" w:eastAsia="方正仿宋_GBK" w:cs="方正仿宋_GBK"/>
                <w:b/>
                <w:bCs/>
                <w:spacing w:val="-6"/>
                <w:sz w:val="21"/>
                <w:szCs w:val="21"/>
                <w:highlight w:val="none"/>
              </w:rPr>
              <w:t>公开载体</w:t>
            </w:r>
          </w:p>
        </w:tc>
        <w:tc>
          <w:tcPr>
            <w:tcW w:w="1215"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jc w:val="center"/>
              <w:textAlignment w:val="auto"/>
              <w:rPr>
                <w:rFonts w:hint="eastAsia" w:ascii="方正仿宋_GBK" w:hAnsi="方正仿宋_GBK" w:eastAsia="方正仿宋_GBK" w:cs="方正仿宋_GBK"/>
                <w:b/>
                <w:bCs/>
                <w:spacing w:val="-6"/>
                <w:sz w:val="21"/>
                <w:szCs w:val="21"/>
                <w:highlight w:val="none"/>
                <w:lang w:eastAsia="zh-CN"/>
              </w:rPr>
            </w:pPr>
            <w:r>
              <w:rPr>
                <w:rFonts w:hint="eastAsia" w:ascii="方正仿宋_GBK" w:hAnsi="方正仿宋_GBK" w:eastAsia="方正仿宋_GBK" w:cs="方正仿宋_GBK"/>
                <w:b/>
                <w:bCs/>
                <w:spacing w:val="-6"/>
                <w:sz w:val="21"/>
                <w:szCs w:val="21"/>
                <w:highlight w:val="none"/>
                <w:lang w:eastAsia="zh-CN"/>
              </w:rPr>
              <w:t>提供部门</w:t>
            </w:r>
          </w:p>
        </w:tc>
        <w:tc>
          <w:tcPr>
            <w:tcW w:w="2055"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pacing w:val="-6"/>
                <w:sz w:val="21"/>
                <w:szCs w:val="21"/>
                <w:highlight w:val="none"/>
                <w:lang w:eastAsia="zh-CN"/>
              </w:rPr>
            </w:pPr>
            <w:r>
              <w:rPr>
                <w:rFonts w:hint="eastAsia" w:ascii="方正仿宋_GBK" w:hAnsi="方正仿宋_GBK" w:eastAsia="方正仿宋_GBK" w:cs="方正仿宋_GBK"/>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1362" w:type="dxa"/>
            <w:gridSpan w:val="2"/>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基本信息</w:t>
            </w:r>
          </w:p>
        </w:tc>
        <w:tc>
          <w:tcPr>
            <w:tcW w:w="2524"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公司介绍</w:t>
            </w:r>
          </w:p>
        </w:tc>
        <w:tc>
          <w:tcPr>
            <w:tcW w:w="1787"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highlight w:val="none"/>
              </w:rPr>
            </w:pPr>
            <w:r>
              <w:rPr>
                <w:rFonts w:hint="eastAsia" w:ascii="方正仿宋_GBK" w:hAnsi="方正仿宋_GBK" w:eastAsia="方正仿宋_GBK" w:cs="方正仿宋_GBK"/>
                <w:spacing w:val="-6"/>
                <w:sz w:val="21"/>
                <w:szCs w:val="24"/>
                <w:highlight w:val="none"/>
              </w:rPr>
              <w:t>对外门户网站</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highlight w:val="none"/>
              </w:rPr>
            </w:pPr>
            <w:r>
              <w:rPr>
                <w:rFonts w:hint="eastAsia" w:ascii="方正仿宋_GBK" w:hAnsi="方正仿宋_GBK" w:eastAsia="方正仿宋_GBK" w:cs="方正仿宋_GBK"/>
                <w:spacing w:val="-6"/>
                <w:sz w:val="21"/>
                <w:szCs w:val="24"/>
                <w:highlight w:val="none"/>
              </w:rPr>
              <w:t>办公室</w:t>
            </w:r>
          </w:p>
        </w:tc>
        <w:tc>
          <w:tcPr>
            <w:tcW w:w="20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1"/>
                <w:highlight w:val="none"/>
              </w:rPr>
              <w:t>自发生变化之日起10个工作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op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工商注册登记信息</w:t>
            </w:r>
          </w:p>
          <w:p>
            <w:pPr>
              <w:adjustRightInd w:val="0"/>
              <w:snapToGrid w:val="0"/>
              <w:spacing w:line="280" w:lineRule="exact"/>
              <w:jc w:val="left"/>
              <w:rPr>
                <w:rFonts w:hint="eastAsia" w:ascii="方正仿宋_GBK" w:hAnsi="方正仿宋_GBK" w:eastAsia="方正仿宋_GBK" w:cs="方正仿宋_GBK"/>
                <w:highlight w:val="none"/>
              </w:rPr>
            </w:pPr>
          </w:p>
        </w:tc>
        <w:tc>
          <w:tcPr>
            <w:tcW w:w="1787"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z w:val="21"/>
                <w:szCs w:val="22"/>
                <w:highlight w:val="none"/>
                <w:lang w:val="en-US" w:eastAsia="zh-CN"/>
              </w:rPr>
              <w:t>国家企业信用信息公示系统</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办公室</w:t>
            </w:r>
          </w:p>
        </w:tc>
        <w:tc>
          <w:tcPr>
            <w:tcW w:w="20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lang w:val="en-US" w:eastAsia="zh-CN"/>
              </w:rPr>
              <w:t>自决定/法定变更事项发生之日起或行政批准之日起30日内申请变更。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电力业务许可信息</w:t>
            </w:r>
          </w:p>
        </w:tc>
        <w:tc>
          <w:tcPr>
            <w:tcW w:w="1787"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95598网站</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highlight w:val="none"/>
              </w:rPr>
            </w:pPr>
            <w:r>
              <w:rPr>
                <w:rFonts w:hint="eastAsia" w:ascii="方正仿宋_GBK" w:hAnsi="方正仿宋_GBK" w:eastAsia="方正仿宋_GBK" w:cs="方正仿宋_GBK"/>
                <w:spacing w:val="-6"/>
                <w:sz w:val="21"/>
                <w:szCs w:val="24"/>
                <w:highlight w:val="none"/>
              </w:rPr>
              <w:t>营销部</w:t>
            </w:r>
          </w:p>
        </w:tc>
        <w:tc>
          <w:tcPr>
            <w:tcW w:w="20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1"/>
                <w:highlight w:val="none"/>
              </w:rPr>
              <w:t>自发生变化之日起10个工作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bottom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公司治理及管理架构</w:t>
            </w:r>
          </w:p>
        </w:tc>
        <w:tc>
          <w:tcPr>
            <w:tcW w:w="1787" w:type="dxa"/>
            <w:tcBorders>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lang w:eastAsia="zh-CN"/>
              </w:rPr>
            </w:pPr>
            <w:r>
              <w:rPr>
                <w:rFonts w:hint="eastAsia" w:ascii="方正仿宋_GBK" w:hAnsi="方正仿宋_GBK" w:eastAsia="方正仿宋_GBK" w:cs="方正仿宋_GBK"/>
                <w:spacing w:val="-6"/>
                <w:sz w:val="21"/>
                <w:szCs w:val="21"/>
                <w:highlight w:val="none"/>
              </w:rPr>
              <w:t>对外门户网站</w:t>
            </w:r>
            <w:r>
              <w:rPr>
                <w:rFonts w:hint="eastAsia" w:ascii="方正仿宋_GBK" w:hAnsi="方正仿宋_GBK" w:eastAsia="方正仿宋_GBK" w:cs="方正仿宋_GBK"/>
                <w:spacing w:val="-6"/>
                <w:sz w:val="21"/>
                <w:szCs w:val="21"/>
                <w:highlight w:val="none"/>
                <w:lang w:eastAsia="zh-CN"/>
              </w:rPr>
              <w:t>、</w:t>
            </w:r>
          </w:p>
          <w:p>
            <w:pPr>
              <w:adjustRightInd w:val="0"/>
              <w:snapToGrid w:val="0"/>
              <w:spacing w:line="280" w:lineRule="exact"/>
              <w:jc w:val="center"/>
              <w:rPr>
                <w:rFonts w:hint="eastAsia" w:ascii="方正仿宋_GBK" w:hAnsi="方正仿宋_GBK" w:eastAsia="方正仿宋_GBK" w:cs="方正仿宋_GBK"/>
                <w:spacing w:val="-6"/>
                <w:sz w:val="21"/>
                <w:szCs w:val="21"/>
                <w:highlight w:val="none"/>
                <w:lang w:eastAsia="zh-CN"/>
              </w:rPr>
            </w:pPr>
            <w:r>
              <w:rPr>
                <w:rFonts w:hint="eastAsia" w:ascii="方正仿宋_GBK" w:hAnsi="方正仿宋_GBK" w:eastAsia="方正仿宋_GBK" w:cs="方正仿宋_GBK"/>
                <w:spacing w:val="-6"/>
                <w:sz w:val="21"/>
                <w:szCs w:val="21"/>
                <w:highlight w:val="none"/>
                <w:lang w:eastAsia="zh-CN"/>
              </w:rPr>
              <w:t>年鉴</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组织部</w:t>
            </w:r>
          </w:p>
        </w:tc>
        <w:tc>
          <w:tcPr>
            <w:tcW w:w="20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op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企业年度报告</w:t>
            </w:r>
          </w:p>
        </w:tc>
        <w:tc>
          <w:tcPr>
            <w:tcW w:w="1787" w:type="dxa"/>
            <w:tcBorders>
              <w:top w:val="single" w:color="auto" w:sz="4" w:space="0"/>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对外门户网站</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highlight w:val="none"/>
              </w:rPr>
            </w:pPr>
            <w:r>
              <w:rPr>
                <w:rFonts w:hint="eastAsia" w:ascii="方正仿宋_GBK" w:hAnsi="方正仿宋_GBK" w:eastAsia="方正仿宋_GBK" w:cs="方正仿宋_GBK"/>
                <w:spacing w:val="-6"/>
                <w:sz w:val="21"/>
                <w:szCs w:val="24"/>
                <w:highlight w:val="none"/>
              </w:rPr>
              <w:t>办公室</w:t>
            </w:r>
          </w:p>
        </w:tc>
        <w:tc>
          <w:tcPr>
            <w:tcW w:w="20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按年度更新。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1362" w:type="dxa"/>
            <w:gridSpan w:val="2"/>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重要事项</w:t>
            </w: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公司领导</w:t>
            </w:r>
          </w:p>
        </w:tc>
        <w:tc>
          <w:tcPr>
            <w:tcW w:w="1787" w:type="dxa"/>
            <w:tcBorders>
              <w:top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对外门户网站</w:t>
            </w:r>
          </w:p>
        </w:tc>
        <w:tc>
          <w:tcPr>
            <w:tcW w:w="1215"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组织部</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pacing w:val="-6"/>
                <w:sz w:val="21"/>
                <w:szCs w:val="21"/>
                <w:highlight w:val="none"/>
              </w:rPr>
              <w:t>自</w:t>
            </w:r>
            <w:r>
              <w:rPr>
                <w:rFonts w:hint="eastAsia" w:ascii="方正仿宋_GBK" w:hAnsi="方正仿宋_GBK" w:eastAsia="方正仿宋_GBK" w:cs="方正仿宋_GBK"/>
                <w:spacing w:val="-6"/>
                <w:sz w:val="21"/>
                <w:szCs w:val="21"/>
                <w:highlight w:val="none"/>
                <w:lang w:eastAsia="zh-CN"/>
              </w:rPr>
              <w:t>宣布</w:t>
            </w:r>
            <w:r>
              <w:rPr>
                <w:rFonts w:hint="eastAsia" w:ascii="方正仿宋_GBK" w:hAnsi="方正仿宋_GBK" w:eastAsia="方正仿宋_GBK" w:cs="方正仿宋_GBK"/>
                <w:spacing w:val="-6"/>
                <w:sz w:val="21"/>
                <w:szCs w:val="21"/>
                <w:highlight w:val="none"/>
              </w:rPr>
              <w:t>之日起</w:t>
            </w:r>
            <w:r>
              <w:rPr>
                <w:rFonts w:hint="eastAsia" w:ascii="方正仿宋_GBK" w:hAnsi="方正仿宋_GBK" w:eastAsia="方正仿宋_GBK" w:cs="方正仿宋_GBK"/>
                <w:spacing w:val="-6"/>
                <w:sz w:val="21"/>
                <w:szCs w:val="21"/>
                <w:highlight w:val="none"/>
                <w:lang w:val="en-US" w:eastAsia="zh-CN"/>
              </w:rPr>
              <w:t>10</w:t>
            </w:r>
            <w:r>
              <w:rPr>
                <w:rFonts w:hint="eastAsia" w:ascii="方正仿宋_GBK" w:hAnsi="方正仿宋_GBK" w:eastAsia="方正仿宋_GBK" w:cs="方正仿宋_GBK"/>
                <w:spacing w:val="-6"/>
                <w:sz w:val="21"/>
                <w:szCs w:val="21"/>
                <w:highlight w:val="none"/>
              </w:rPr>
              <w:t>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sz w:val="21"/>
                <w:szCs w:val="24"/>
                <w:highlight w:val="none"/>
              </w:rPr>
              <w:t>重大突发事件事态发展和应急处置</w:t>
            </w:r>
          </w:p>
        </w:tc>
        <w:tc>
          <w:tcPr>
            <w:tcW w:w="1787"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spacing w:val="-6"/>
                <w:sz w:val="21"/>
                <w:szCs w:val="21"/>
                <w:highlight w:val="none"/>
                <w:lang w:eastAsia="zh-CN"/>
              </w:rPr>
            </w:pPr>
            <w:r>
              <w:rPr>
                <w:rFonts w:hint="eastAsia" w:ascii="方正仿宋_GBK" w:hAnsi="方正仿宋_GBK" w:eastAsia="方正仿宋_GBK" w:cs="方正仿宋_GBK"/>
                <w:color w:val="auto"/>
                <w:spacing w:val="-6"/>
                <w:sz w:val="21"/>
                <w:szCs w:val="21"/>
                <w:highlight w:val="none"/>
              </w:rPr>
              <w:t>对外门户网站</w:t>
            </w:r>
          </w:p>
        </w:tc>
        <w:tc>
          <w:tcPr>
            <w:tcW w:w="1215"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highlight w:val="none"/>
                <w:lang w:eastAsia="zh-CN"/>
              </w:rPr>
            </w:pPr>
            <w:r>
              <w:rPr>
                <w:rFonts w:hint="eastAsia" w:ascii="方正仿宋_GBK" w:hAnsi="方正仿宋_GBK" w:eastAsia="方正仿宋_GBK" w:cs="方正仿宋_GBK"/>
                <w:color w:val="auto"/>
                <w:sz w:val="21"/>
                <w:szCs w:val="24"/>
                <w:highlight w:val="none"/>
                <w:lang w:eastAsia="zh-CN"/>
              </w:rPr>
              <w:t>安监部</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highlight w:val="none"/>
                <w:lang w:eastAsia="zh-CN"/>
              </w:rPr>
            </w:pPr>
            <w:r>
              <w:rPr>
                <w:rFonts w:hint="eastAsia" w:ascii="方正仿宋_GBK" w:hAnsi="方正仿宋_GBK" w:eastAsia="方正仿宋_GBK" w:cs="方正仿宋_GBK"/>
                <w:color w:val="auto"/>
                <w:sz w:val="21"/>
                <w:szCs w:val="24"/>
                <w:highlight w:val="none"/>
              </w:rPr>
              <w:t>根据重大突发事件情况及时</w:t>
            </w:r>
            <w:r>
              <w:rPr>
                <w:rFonts w:hint="eastAsia" w:ascii="方正仿宋_GBK" w:hAnsi="方正仿宋_GBK" w:eastAsia="方正仿宋_GBK" w:cs="方正仿宋_GBK"/>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公司重大改制重组结果</w:t>
            </w:r>
          </w:p>
        </w:tc>
        <w:tc>
          <w:tcPr>
            <w:tcW w:w="178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c>
          <w:tcPr>
            <w:tcW w:w="1215"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lang w:eastAsia="zh-CN"/>
              </w:rPr>
            </w:pPr>
            <w:r>
              <w:rPr>
                <w:rFonts w:hint="eastAsia" w:ascii="方正仿宋_GBK" w:hAnsi="方正仿宋_GBK" w:eastAsia="方正仿宋_GBK" w:cs="方正仿宋_GBK"/>
                <w:sz w:val="21"/>
                <w:szCs w:val="24"/>
                <w:highlight w:val="none"/>
                <w:lang w:eastAsia="zh-CN"/>
              </w:rPr>
              <w:t>办公室</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3"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24" w:type="dxa"/>
            <w:gridSpan w:val="2"/>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kern w:val="0"/>
                <w:sz w:val="21"/>
                <w:szCs w:val="24"/>
                <w:highlight w:val="none"/>
              </w:rPr>
            </w:pPr>
            <w:r>
              <w:rPr>
                <w:rFonts w:hint="eastAsia" w:ascii="方正仿宋_GBK" w:hAnsi="方正仿宋_GBK" w:eastAsia="方正仿宋_GBK" w:cs="方正仿宋_GBK"/>
                <w:sz w:val="21"/>
                <w:szCs w:val="24"/>
                <w:highlight w:val="none"/>
              </w:rPr>
              <w:t>依照法律法规和有关监</w:t>
            </w:r>
            <w:r>
              <w:rPr>
                <w:rFonts w:hint="eastAsia" w:ascii="方正仿宋_GBK" w:hAnsi="方正仿宋_GBK" w:eastAsia="方正仿宋_GBK" w:cs="方正仿宋_GBK"/>
                <w:kern w:val="0"/>
                <w:sz w:val="21"/>
                <w:szCs w:val="24"/>
                <w:highlight w:val="none"/>
              </w:rPr>
              <w:t>管机构要求须披露的信息</w:t>
            </w:r>
          </w:p>
        </w:tc>
        <w:tc>
          <w:tcPr>
            <w:tcW w:w="1787"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c>
          <w:tcPr>
            <w:tcW w:w="1215"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办公室</w:t>
            </w:r>
          </w:p>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val="en-US" w:eastAsia="zh-CN"/>
              </w:rPr>
              <w:t>发策</w:t>
            </w:r>
            <w:r>
              <w:rPr>
                <w:rFonts w:hint="eastAsia" w:ascii="方正仿宋_GBK" w:hAnsi="方正仿宋_GBK" w:eastAsia="方正仿宋_GBK" w:cs="方正仿宋_GBK"/>
                <w:sz w:val="21"/>
                <w:szCs w:val="24"/>
                <w:highlight w:val="none"/>
                <w:lang w:eastAsia="zh-CN"/>
              </w:rPr>
              <w:t>部</w:t>
            </w:r>
          </w:p>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安监部</w:t>
            </w:r>
          </w:p>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建设部</w:t>
            </w:r>
          </w:p>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营销部</w:t>
            </w:r>
          </w:p>
          <w:p>
            <w:pPr>
              <w:adjustRightInd w:val="0"/>
              <w:snapToGrid w:val="0"/>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调控中心</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2" w:hRule="atLeast"/>
          <w:jc w:val="center"/>
        </w:trPr>
        <w:tc>
          <w:tcPr>
            <w:tcW w:w="5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both"/>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rPr>
              <w:t>电力服务</w:t>
            </w: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both"/>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rPr>
              <w:t>电力服务</w:t>
            </w: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both"/>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用电业务办理</w:t>
            </w:r>
          </w:p>
        </w:tc>
        <w:tc>
          <w:tcPr>
            <w:tcW w:w="25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eastAsia="zh-CN"/>
              </w:rPr>
            </w:pPr>
            <w:r>
              <w:rPr>
                <w:rFonts w:hint="eastAsia" w:ascii="方正仿宋_GBK" w:hAnsi="方正仿宋_GBK" w:eastAsia="方正仿宋_GBK" w:cs="方正仿宋_GBK"/>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787"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lang w:val="en-US" w:eastAsia="zh-CN"/>
              </w:rPr>
              <w:t>对外门户网站；网上国网App；95598网站；供电营业厅</w:t>
            </w:r>
          </w:p>
        </w:tc>
        <w:tc>
          <w:tcPr>
            <w:tcW w:w="1215"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营销部</w:t>
            </w:r>
          </w:p>
        </w:tc>
        <w:tc>
          <w:tcPr>
            <w:tcW w:w="205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color w:val="000000"/>
                <w:kern w:val="0"/>
                <w:sz w:val="21"/>
                <w:szCs w:val="21"/>
                <w:highlight w:val="none"/>
                <w:lang w:bidi="ar"/>
              </w:rPr>
              <w:t>国家另有规定的，按照规定执行</w:t>
            </w:r>
            <w:r>
              <w:rPr>
                <w:rFonts w:hint="eastAsia" w:ascii="方正仿宋_GBK" w:hAnsi="方正仿宋_GBK" w:eastAsia="方正仿宋_GBK" w:cs="方正仿宋_GBK"/>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5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p>
        </w:tc>
        <w:tc>
          <w:tcPr>
            <w:tcW w:w="25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kern w:val="0"/>
                <w:sz w:val="21"/>
                <w:szCs w:val="21"/>
                <w:highlight w:val="none"/>
                <w:lang w:bidi="ar"/>
              </w:rPr>
            </w:pPr>
          </w:p>
        </w:tc>
        <w:tc>
          <w:tcPr>
            <w:tcW w:w="1787"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p>
        </w:tc>
        <w:tc>
          <w:tcPr>
            <w:tcW w:w="1215"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电价和收费标准</w:t>
            </w:r>
          </w:p>
        </w:tc>
        <w:tc>
          <w:tcPr>
            <w:tcW w:w="2524" w:type="dxa"/>
            <w:gridSpan w:val="2"/>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执行电价政策</w:t>
            </w:r>
          </w:p>
        </w:tc>
        <w:tc>
          <w:tcPr>
            <w:tcW w:w="1787"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r>
              <w:rPr>
                <w:rFonts w:hint="eastAsia" w:ascii="方正仿宋_GBK" w:hAnsi="方正仿宋_GBK" w:eastAsia="方正仿宋_GBK" w:cs="方正仿宋_GBK"/>
                <w:color w:val="auto"/>
                <w:spacing w:val="-6"/>
                <w:sz w:val="21"/>
                <w:szCs w:val="21"/>
                <w:highlight w:val="none"/>
              </w:rPr>
              <w:t>对外门户网站；网上国网A</w:t>
            </w:r>
            <w:r>
              <w:rPr>
                <w:rFonts w:hint="eastAsia" w:ascii="方正仿宋_GBK" w:hAnsi="方正仿宋_GBK" w:eastAsia="方正仿宋_GBK" w:cs="方正仿宋_GBK"/>
                <w:color w:val="auto"/>
                <w:spacing w:val="-6"/>
                <w:sz w:val="21"/>
                <w:szCs w:val="21"/>
                <w:highlight w:val="none"/>
                <w:lang w:val="en-US" w:eastAsia="zh-CN"/>
              </w:rPr>
              <w:t>pp</w:t>
            </w:r>
            <w:r>
              <w:rPr>
                <w:rFonts w:hint="eastAsia" w:ascii="方正仿宋_GBK" w:hAnsi="方正仿宋_GBK" w:eastAsia="方正仿宋_GBK" w:cs="方正仿宋_GBK"/>
                <w:color w:val="auto"/>
                <w:spacing w:val="-6"/>
                <w:sz w:val="21"/>
                <w:szCs w:val="21"/>
                <w:highlight w:val="none"/>
              </w:rPr>
              <w:t>；</w:t>
            </w:r>
            <w:r>
              <w:rPr>
                <w:rFonts w:hint="eastAsia" w:ascii="方正仿宋_GBK" w:hAnsi="方正仿宋_GBK" w:eastAsia="方正仿宋_GBK" w:cs="方正仿宋_GBK"/>
                <w:color w:val="auto"/>
                <w:spacing w:val="-6"/>
                <w:sz w:val="21"/>
                <w:szCs w:val="21"/>
                <w:highlight w:val="none"/>
                <w:lang w:val="en-US" w:eastAsia="zh-CN"/>
              </w:rPr>
              <w:t>9</w:t>
            </w:r>
            <w:r>
              <w:rPr>
                <w:rFonts w:hint="eastAsia" w:ascii="方正仿宋_GBK" w:hAnsi="方正仿宋_GBK" w:eastAsia="方正仿宋_GBK" w:cs="方正仿宋_GBK"/>
                <w:color w:val="auto"/>
                <w:spacing w:val="-6"/>
                <w:kern w:val="0"/>
                <w:sz w:val="21"/>
                <w:szCs w:val="21"/>
                <w:highlight w:val="none"/>
                <w:lang w:bidi="ar"/>
              </w:rPr>
              <w:t>5598网站</w:t>
            </w:r>
            <w:r>
              <w:rPr>
                <w:rFonts w:hint="eastAsia" w:ascii="方正仿宋_GBK" w:hAnsi="方正仿宋_GBK" w:eastAsia="方正仿宋_GBK" w:cs="方正仿宋_GBK"/>
                <w:color w:val="auto"/>
                <w:spacing w:val="-6"/>
                <w:sz w:val="21"/>
                <w:szCs w:val="21"/>
                <w:highlight w:val="none"/>
              </w:rPr>
              <w:t>；供电营业厅</w:t>
            </w:r>
          </w:p>
        </w:tc>
        <w:tc>
          <w:tcPr>
            <w:tcW w:w="1215"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sz w:val="21"/>
                <w:szCs w:val="21"/>
                <w:highlight w:val="none"/>
              </w:rPr>
              <w:t>营销部</w:t>
            </w:r>
          </w:p>
        </w:tc>
        <w:tc>
          <w:tcPr>
            <w:tcW w:w="205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lang w:eastAsia="zh-CN"/>
              </w:rPr>
            </w:pPr>
            <w:r>
              <w:rPr>
                <w:rFonts w:hint="eastAsia" w:ascii="方正仿宋_GBK" w:hAnsi="方正仿宋_GBK" w:eastAsia="方正仿宋_GBK" w:cs="方正仿宋_GBK"/>
                <w:color w:val="auto"/>
                <w:sz w:val="21"/>
                <w:szCs w:val="21"/>
                <w:highlight w:val="none"/>
              </w:rPr>
              <w:t>自发生变化之日起10个工作</w:t>
            </w:r>
            <w:r>
              <w:rPr>
                <w:rFonts w:hint="eastAsia" w:ascii="方正仿宋_GBK" w:hAnsi="方正仿宋_GBK" w:eastAsia="方正仿宋_GBK" w:cs="方正仿宋_GBK"/>
                <w:color w:val="auto"/>
                <w:sz w:val="21"/>
                <w:szCs w:val="21"/>
                <w:highlight w:val="none"/>
                <w:lang w:eastAsia="zh-CN"/>
              </w:rPr>
              <w:t>日</w:t>
            </w:r>
            <w:r>
              <w:rPr>
                <w:rFonts w:hint="eastAsia" w:ascii="方正仿宋_GBK" w:hAnsi="方正仿宋_GBK" w:eastAsia="方正仿宋_GBK" w:cs="方正仿宋_GBK"/>
                <w:color w:val="auto"/>
                <w:sz w:val="21"/>
                <w:szCs w:val="21"/>
                <w:highlight w:val="none"/>
              </w:rPr>
              <w:t>内更新</w:t>
            </w:r>
            <w:r>
              <w:rPr>
                <w:rFonts w:hint="eastAsia" w:ascii="方正仿宋_GBK" w:hAnsi="方正仿宋_GBK" w:eastAsia="方正仿宋_GBK" w:cs="方正仿宋_GBK"/>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5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高可靠性供电费等政策收费标准</w:t>
            </w:r>
          </w:p>
        </w:tc>
        <w:tc>
          <w:tcPr>
            <w:tcW w:w="1787"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1215"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sz w:val="21"/>
                <w:szCs w:val="24"/>
                <w:highlight w:val="none"/>
              </w:rPr>
            </w:pPr>
          </w:p>
        </w:tc>
        <w:tc>
          <w:tcPr>
            <w:tcW w:w="205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5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87"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1215"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sz w:val="21"/>
                <w:szCs w:val="24"/>
                <w:highlight w:val="none"/>
              </w:rPr>
            </w:pPr>
          </w:p>
        </w:tc>
        <w:tc>
          <w:tcPr>
            <w:tcW w:w="205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代理购电最新价格公告</w:t>
            </w:r>
          </w:p>
        </w:tc>
        <w:tc>
          <w:tcPr>
            <w:tcW w:w="1787" w:type="dxa"/>
            <w:vMerge w:val="continue"/>
            <w:tcBorders>
              <w:bottom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1215" w:type="dxa"/>
            <w:vMerge w:val="continue"/>
            <w:tcBorders>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sz w:val="21"/>
                <w:szCs w:val="24"/>
                <w:highlight w:val="none"/>
              </w:rPr>
            </w:pPr>
          </w:p>
        </w:tc>
        <w:tc>
          <w:tcPr>
            <w:tcW w:w="2055" w:type="dxa"/>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lang w:eastAsia="zh-CN"/>
              </w:rPr>
            </w:pPr>
            <w:r>
              <w:rPr>
                <w:rFonts w:hint="eastAsia" w:ascii="方正仿宋_GBK" w:hAnsi="方正仿宋_GBK" w:eastAsia="方正仿宋_GBK" w:cs="方正仿宋_GBK"/>
                <w:color w:val="auto"/>
                <w:spacing w:val="-6"/>
                <w:sz w:val="21"/>
                <w:szCs w:val="24"/>
                <w:highlight w:val="none"/>
              </w:rPr>
              <w:t>月</w:t>
            </w:r>
            <w:r>
              <w:rPr>
                <w:rFonts w:hint="eastAsia" w:ascii="方正仿宋_GBK" w:hAnsi="方正仿宋_GBK" w:eastAsia="方正仿宋_GBK" w:cs="方正仿宋_GBK"/>
                <w:color w:val="auto"/>
                <w:spacing w:val="-6"/>
                <w:sz w:val="21"/>
                <w:szCs w:val="24"/>
                <w:highlight w:val="none"/>
                <w:lang w:eastAsia="zh-CN"/>
              </w:rPr>
              <w:t>末后</w:t>
            </w:r>
            <w:r>
              <w:rPr>
                <w:rFonts w:hint="eastAsia" w:ascii="方正仿宋_GBK" w:hAnsi="方正仿宋_GBK" w:eastAsia="方正仿宋_GBK" w:cs="方正仿宋_GBK"/>
                <w:color w:val="auto"/>
                <w:spacing w:val="-6"/>
                <w:sz w:val="21"/>
                <w:szCs w:val="24"/>
                <w:highlight w:val="none"/>
                <w:lang w:val="en-US" w:eastAsia="zh-CN"/>
              </w:rPr>
              <w:t>3个工作日内</w:t>
            </w:r>
            <w:r>
              <w:rPr>
                <w:rFonts w:hint="eastAsia" w:ascii="方正仿宋_GBK" w:hAnsi="方正仿宋_GBK" w:eastAsia="方正仿宋_GBK" w:cs="方正仿宋_GBK"/>
                <w:color w:val="auto"/>
                <w:spacing w:val="-6"/>
                <w:sz w:val="21"/>
                <w:szCs w:val="24"/>
                <w:highlight w:val="none"/>
              </w:rPr>
              <w:t>主动公开下月信息</w:t>
            </w:r>
            <w:r>
              <w:rPr>
                <w:rFonts w:hint="eastAsia" w:ascii="方正仿宋_GBK" w:hAnsi="方正仿宋_GBK" w:eastAsia="方正仿宋_GBK" w:cs="方正仿宋_GBK"/>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供电质量和电力可靠性</w:t>
            </w:r>
          </w:p>
        </w:tc>
        <w:tc>
          <w:tcPr>
            <w:tcW w:w="25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供电可靠性、用户受电端电压合格率等指标及相关政策文件、标准</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对外门户网站；网上国网App；95598网站；供电营业厅</w:t>
            </w:r>
          </w:p>
        </w:tc>
        <w:tc>
          <w:tcPr>
            <w:tcW w:w="1215"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lang w:eastAsia="zh-CN"/>
              </w:rPr>
            </w:pPr>
            <w:r>
              <w:rPr>
                <w:rFonts w:hint="eastAsia" w:ascii="方正仿宋_GBK" w:hAnsi="方正仿宋_GBK" w:eastAsia="方正仿宋_GBK" w:cs="方正仿宋_GBK"/>
                <w:sz w:val="21"/>
                <w:szCs w:val="24"/>
                <w:highlight w:val="none"/>
                <w:lang w:eastAsia="zh-CN"/>
              </w:rPr>
              <w:t>运检部</w:t>
            </w:r>
          </w:p>
        </w:tc>
        <w:tc>
          <w:tcPr>
            <w:tcW w:w="205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电压合格率和供电可靠性指标按季度发布，自发生变化之日起10个工作日内更新</w:t>
            </w:r>
            <w:r>
              <w:rPr>
                <w:rFonts w:hint="eastAsia" w:ascii="方正仿宋_GBK" w:hAnsi="方正仿宋_GBK" w:eastAsia="方正仿宋_GBK" w:cs="方正仿宋_GBK"/>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pacing w:val="-6"/>
                <w:sz w:val="21"/>
                <w:szCs w:val="24"/>
                <w:highlight w:val="none"/>
              </w:rPr>
            </w:pPr>
          </w:p>
        </w:tc>
        <w:tc>
          <w:tcPr>
            <w:tcW w:w="25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tcBorders>
              <w:bottom w:val="single" w:color="auto" w:sz="4" w:space="0"/>
              <w:tl2br w:val="nil"/>
              <w:tr2bl w:val="nil"/>
            </w:tcBorders>
            <w:noWrap w:val="0"/>
            <w:vAlign w:val="center"/>
          </w:tcPr>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限电</w:t>
            </w:r>
          </w:p>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信息</w:t>
            </w:r>
          </w:p>
        </w:tc>
        <w:tc>
          <w:tcPr>
            <w:tcW w:w="2524"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通过政府决策程序后的供电营业区有序用电方案、限电序位</w:t>
            </w:r>
          </w:p>
        </w:tc>
        <w:tc>
          <w:tcPr>
            <w:tcW w:w="1787" w:type="dxa"/>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对外门户网站</w:t>
            </w:r>
          </w:p>
        </w:tc>
        <w:tc>
          <w:tcPr>
            <w:tcW w:w="1215" w:type="dxa"/>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营销部</w:t>
            </w:r>
          </w:p>
          <w:p>
            <w:pPr>
              <w:spacing w:line="280" w:lineRule="exact"/>
              <w:jc w:val="center"/>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调控中心</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自政府相关部门批复后3个工作日内</w:t>
            </w:r>
            <w:r>
              <w:rPr>
                <w:rFonts w:hint="eastAsia" w:ascii="方正仿宋_GBK" w:hAnsi="方正仿宋_GBK" w:eastAsia="方正仿宋_GBK" w:cs="方正仿宋_GBK"/>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op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检修</w:t>
            </w: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信息</w:t>
            </w:r>
          </w:p>
        </w:tc>
        <w:tc>
          <w:tcPr>
            <w:tcW w:w="2524"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r>
              <w:rPr>
                <w:rFonts w:hint="eastAsia" w:ascii="方正仿宋_GBK" w:hAnsi="方正仿宋_GBK" w:eastAsia="方正仿宋_GBK" w:cs="方正仿宋_GBK"/>
                <w:color w:val="000000"/>
                <w:kern w:val="0"/>
                <w:sz w:val="21"/>
                <w:szCs w:val="21"/>
                <w:highlight w:val="none"/>
                <w:lang w:bidi="ar"/>
              </w:rPr>
              <w:t>计划检修停电区域、停电线路、停电起止时间等停电信息，具备发布条件的，可将停电影响具体客户信息细化至高压用户和小区</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网上国网App；</w:t>
            </w:r>
          </w:p>
          <w:p>
            <w:pPr>
              <w:spacing w:line="280" w:lineRule="exact"/>
              <w:jc w:val="center"/>
              <w:rPr>
                <w:rFonts w:hint="eastAsia" w:ascii="方正仿宋_GBK" w:hAnsi="方正仿宋_GBK" w:eastAsia="方正仿宋_GBK" w:cs="方正仿宋_GBK"/>
                <w:spacing w:val="0"/>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新闻媒体；</w:t>
            </w:r>
          </w:p>
          <w:p>
            <w:pPr>
              <w:spacing w:line="280" w:lineRule="exact"/>
              <w:jc w:val="center"/>
              <w:rPr>
                <w:rFonts w:hint="eastAsia" w:ascii="方正仿宋_GBK" w:hAnsi="方正仿宋_GBK" w:eastAsia="方正仿宋_GBK" w:cs="方正仿宋_GBK"/>
                <w:spacing w:val="0"/>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95598网站；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电力短信</w:t>
            </w:r>
          </w:p>
        </w:tc>
        <w:tc>
          <w:tcPr>
            <w:tcW w:w="1215" w:type="dxa"/>
            <w:vMerge w:val="restart"/>
            <w:tcBorders>
              <w:top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1"/>
                <w:highlight w:val="none"/>
                <w:lang w:val="en-US" w:eastAsia="zh-CN"/>
              </w:rPr>
            </w:pPr>
            <w:r>
              <w:rPr>
                <w:rFonts w:hint="eastAsia" w:ascii="方正仿宋_GBK" w:hAnsi="方正仿宋_GBK" w:eastAsia="方正仿宋_GBK" w:cs="方正仿宋_GBK"/>
                <w:spacing w:val="-6"/>
                <w:sz w:val="21"/>
                <w:szCs w:val="21"/>
                <w:highlight w:val="none"/>
                <w:lang w:val="en-US" w:eastAsia="zh-CN"/>
              </w:rPr>
              <w:t>调控中心</w:t>
            </w:r>
          </w:p>
          <w:p>
            <w:pPr>
              <w:spacing w:line="280" w:lineRule="exact"/>
              <w:jc w:val="center"/>
              <w:rPr>
                <w:rFonts w:hint="eastAsia" w:ascii="方正仿宋_GBK" w:hAnsi="方正仿宋_GBK" w:eastAsia="方正仿宋_GBK" w:cs="方正仿宋_GBK"/>
                <w:spacing w:val="-6"/>
                <w:sz w:val="21"/>
                <w:szCs w:val="21"/>
                <w:highlight w:val="none"/>
                <w:lang w:val="en-US" w:eastAsia="zh-CN"/>
              </w:rPr>
            </w:pPr>
            <w:r>
              <w:rPr>
                <w:rFonts w:hint="eastAsia" w:ascii="方正仿宋_GBK" w:hAnsi="方正仿宋_GBK" w:eastAsia="方正仿宋_GBK" w:cs="方正仿宋_GBK"/>
                <w:spacing w:val="-6"/>
                <w:sz w:val="21"/>
                <w:szCs w:val="21"/>
                <w:highlight w:val="none"/>
                <w:lang w:val="en-US" w:eastAsia="zh-CN"/>
              </w:rPr>
              <w:t>营销部</w:t>
            </w:r>
          </w:p>
          <w:p>
            <w:pPr>
              <w:spacing w:line="280" w:lineRule="exact"/>
              <w:jc w:val="center"/>
              <w:rPr>
                <w:rFonts w:hint="default" w:ascii="方正仿宋_GBK" w:hAnsi="方正仿宋_GBK" w:eastAsia="方正仿宋_GBK" w:cs="方正仿宋_GBK"/>
                <w:spacing w:val="-6"/>
                <w:sz w:val="21"/>
                <w:szCs w:val="21"/>
                <w:highlight w:val="none"/>
                <w:lang w:val="en-US" w:eastAsia="zh-CN"/>
              </w:rPr>
            </w:pPr>
            <w:r>
              <w:rPr>
                <w:rFonts w:hint="eastAsia" w:ascii="方正仿宋_GBK" w:hAnsi="方正仿宋_GBK" w:eastAsia="方正仿宋_GBK" w:cs="方正仿宋_GBK"/>
                <w:spacing w:val="-6"/>
                <w:sz w:val="21"/>
                <w:szCs w:val="21"/>
                <w:highlight w:val="none"/>
                <w:lang w:val="en-US" w:eastAsia="zh-CN"/>
              </w:rPr>
              <w:t>供指中心</w:t>
            </w:r>
          </w:p>
        </w:tc>
        <w:tc>
          <w:tcPr>
            <w:tcW w:w="2055" w:type="dxa"/>
            <w:vMerge w:val="restart"/>
            <w:tcBorders>
              <w:tl2br w:val="nil"/>
              <w:tr2bl w:val="nil"/>
            </w:tcBorders>
            <w:noWrap w:val="0"/>
            <w:vAlign w:val="center"/>
          </w:tcPr>
          <w:p>
            <w:pPr>
              <w:spacing w:line="280" w:lineRule="exact"/>
              <w:jc w:val="both"/>
              <w:rPr>
                <w:rFonts w:hint="default" w:ascii="方正仿宋_GBK" w:hAnsi="方正仿宋_GBK" w:eastAsia="方正仿宋_GBK" w:cs="方正仿宋_GBK"/>
                <w:sz w:val="21"/>
                <w:szCs w:val="22"/>
                <w:highlight w:val="none"/>
                <w:lang w:val="en-US" w:eastAsia="zh-CN"/>
              </w:rPr>
            </w:pPr>
            <w:r>
              <w:rPr>
                <w:rFonts w:hint="eastAsia" w:ascii="方正仿宋_GBK" w:hAnsi="方正仿宋_GBK" w:eastAsia="方正仿宋_GBK" w:cs="方正仿宋_GBK"/>
                <w:sz w:val="21"/>
                <w:szCs w:val="21"/>
                <w:highlight w:val="none"/>
              </w:rPr>
              <w:t>按照国家规定及时</w:t>
            </w:r>
            <w:r>
              <w:rPr>
                <w:rFonts w:hint="eastAsia" w:ascii="方正仿宋_GBK" w:hAnsi="方正仿宋_GBK" w:eastAsia="方正仿宋_GBK" w:cs="方正仿宋_GBK"/>
                <w:sz w:val="21"/>
                <w:szCs w:val="21"/>
                <w:highlight w:val="none"/>
                <w:lang w:eastAsia="zh-CN"/>
              </w:rPr>
              <w:t>公开。</w:t>
            </w:r>
            <w:r>
              <w:rPr>
                <w:rFonts w:hint="eastAsia" w:ascii="方正仿宋_GBK" w:hAnsi="方正仿宋_GBK" w:eastAsia="方正仿宋_GBK" w:cs="方正仿宋_GBK"/>
                <w:sz w:val="21"/>
                <w:szCs w:val="21"/>
                <w:highlight w:val="none"/>
                <w:lang w:val="en-US" w:eastAsia="zh-CN"/>
              </w:rPr>
              <w:t>相关部门提供信息，供指中心统一发布。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524" w:type="dxa"/>
            <w:gridSpan w:val="2"/>
            <w:vMerge w:val="restart"/>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临时检修停电区域、停电线路、停电起止时间等停电信息，具备发布条件的，可将停电影响具体客户信息细化至高压用户和小区</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lang w:eastAsia="zh-CN"/>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5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lang w:eastAsia="zh-CN"/>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524"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故障停电区域、停电线路、停电起止时间等停电信息，具备发布条件的，可将停电影响具体客户信息细化至高压用户和小区</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lang w:eastAsia="zh-CN"/>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可开放容量相关信息</w:t>
            </w: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本地区配电网接入能力</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供电营业厅</w:t>
            </w:r>
          </w:p>
        </w:tc>
        <w:tc>
          <w:tcPr>
            <w:tcW w:w="1215"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lang w:val="en-US" w:eastAsia="zh-CN"/>
              </w:rPr>
              <w:t>发策</w:t>
            </w:r>
            <w:r>
              <w:rPr>
                <w:rFonts w:hint="eastAsia" w:ascii="方正仿宋_GBK" w:hAnsi="方正仿宋_GBK" w:eastAsia="方正仿宋_GBK" w:cs="方正仿宋_GBK"/>
                <w:sz w:val="21"/>
                <w:szCs w:val="22"/>
                <w:highlight w:val="none"/>
                <w:lang w:eastAsia="zh-CN"/>
              </w:rPr>
              <w:t>部</w:t>
            </w:r>
          </w:p>
          <w:p>
            <w:pPr>
              <w:spacing w:line="280" w:lineRule="exact"/>
              <w:jc w:val="center"/>
              <w:rPr>
                <w:rFonts w:hint="default" w:ascii="方正仿宋_GBK" w:hAnsi="方正仿宋_GBK" w:eastAsia="方正仿宋_GBK" w:cs="方正仿宋_GBK"/>
                <w:sz w:val="21"/>
                <w:szCs w:val="22"/>
                <w:highlight w:val="none"/>
                <w:lang w:val="en-US" w:eastAsia="zh-CN"/>
              </w:rPr>
            </w:pPr>
            <w:r>
              <w:rPr>
                <w:rFonts w:hint="eastAsia" w:ascii="方正仿宋_GBK" w:hAnsi="方正仿宋_GBK" w:eastAsia="方正仿宋_GBK" w:cs="方正仿宋_GBK"/>
                <w:sz w:val="21"/>
                <w:szCs w:val="22"/>
                <w:highlight w:val="none"/>
                <w:lang w:val="en-US" w:eastAsia="zh-CN"/>
              </w:rPr>
              <w:t>运检部</w:t>
            </w:r>
          </w:p>
          <w:p>
            <w:pPr>
              <w:spacing w:line="280" w:lineRule="exact"/>
              <w:jc w:val="center"/>
              <w:rPr>
                <w:rFonts w:hint="default" w:ascii="方正仿宋_GBK" w:hAnsi="方正仿宋_GBK" w:eastAsia="方正仿宋_GBK" w:cs="方正仿宋_GBK"/>
                <w:sz w:val="21"/>
                <w:szCs w:val="22"/>
                <w:highlight w:val="none"/>
                <w:lang w:val="en-US" w:eastAsia="zh-CN"/>
              </w:rPr>
            </w:pPr>
            <w:r>
              <w:rPr>
                <w:rFonts w:hint="eastAsia" w:ascii="方正仿宋_GBK" w:hAnsi="方正仿宋_GBK" w:eastAsia="方正仿宋_GBK" w:cs="方正仿宋_GBK"/>
                <w:sz w:val="21"/>
                <w:szCs w:val="22"/>
                <w:highlight w:val="none"/>
                <w:lang w:val="en-US" w:eastAsia="zh-CN"/>
              </w:rPr>
              <w:t>营销部</w:t>
            </w:r>
          </w:p>
        </w:tc>
        <w:tc>
          <w:tcPr>
            <w:tcW w:w="205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color w:val="000000"/>
                <w:spacing w:val="-6"/>
                <w:kern w:val="0"/>
                <w:sz w:val="21"/>
                <w:szCs w:val="21"/>
                <w:highlight w:val="none"/>
                <w:lang w:bidi="ar"/>
              </w:rPr>
              <w:t>按季度更新</w:t>
            </w:r>
            <w:r>
              <w:rPr>
                <w:rFonts w:hint="eastAsia" w:ascii="方正仿宋_GBK" w:hAnsi="方正仿宋_GBK" w:eastAsia="方正仿宋_GBK" w:cs="方正仿宋_GBK"/>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容量受限情况</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lang w:eastAsia="zh-CN"/>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用户受电工程市场公平开放相关信息</w:t>
            </w: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优化营商环境政策</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网上国网App；</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95598网站；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供电营业厅</w:t>
            </w:r>
          </w:p>
        </w:tc>
        <w:tc>
          <w:tcPr>
            <w:tcW w:w="1215"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rPr>
              <w:t>营销部</w:t>
            </w:r>
          </w:p>
        </w:tc>
        <w:tc>
          <w:tcPr>
            <w:tcW w:w="205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受电工程验收标准</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《用户受电工程“三指定”行为认定指引》</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政府部门提供的受电工程设计及施工单位资质信息查询渠道</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9"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供电服务承诺以及供电服务热线</w:t>
            </w:r>
          </w:p>
        </w:tc>
        <w:tc>
          <w:tcPr>
            <w:tcW w:w="2524" w:type="dxa"/>
            <w:gridSpan w:val="2"/>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国家电网有限公司供电服务“十项承诺”</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对外门户网站；网上国网App；95598网站；供电营业厅</w:t>
            </w:r>
          </w:p>
        </w:tc>
        <w:tc>
          <w:tcPr>
            <w:tcW w:w="1215"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营销部</w:t>
            </w:r>
          </w:p>
        </w:tc>
        <w:tc>
          <w:tcPr>
            <w:tcW w:w="205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pacing w:val="-6"/>
                <w:sz w:val="21"/>
                <w:szCs w:val="24"/>
                <w:highlight w:val="none"/>
              </w:rPr>
              <w:t>自发生变化之日起10个工作</w:t>
            </w:r>
            <w:r>
              <w:rPr>
                <w:rFonts w:hint="eastAsia" w:ascii="方正仿宋_GBK" w:hAnsi="方正仿宋_GBK" w:eastAsia="方正仿宋_GBK" w:cs="方正仿宋_GBK"/>
                <w:spacing w:val="-6"/>
                <w:sz w:val="21"/>
                <w:szCs w:val="24"/>
                <w:highlight w:val="none"/>
                <w:lang w:eastAsia="zh-CN"/>
              </w:rPr>
              <w:t>日</w:t>
            </w:r>
            <w:r>
              <w:rPr>
                <w:rFonts w:hint="eastAsia" w:ascii="方正仿宋_GBK" w:hAnsi="方正仿宋_GBK" w:eastAsia="方正仿宋_GBK" w:cs="方正仿宋_GBK"/>
                <w:spacing w:val="-6"/>
                <w:sz w:val="21"/>
                <w:szCs w:val="24"/>
                <w:highlight w:val="none"/>
              </w:rPr>
              <w:t>内更新</w:t>
            </w:r>
            <w:r>
              <w:rPr>
                <w:rFonts w:hint="eastAsia" w:ascii="方正仿宋_GBK" w:hAnsi="方正仿宋_GBK" w:eastAsia="方正仿宋_GBK" w:cs="方正仿宋_GBK"/>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国家电网有限公司员工服务“十个不准”</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055" w:type="dxa"/>
            <w:vMerge w:val="continue"/>
            <w:tcBorders>
              <w:bottom w:val="single" w:color="auto" w:sz="4" w:space="0"/>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pacing w:val="-6"/>
                <w:sz w:val="21"/>
                <w:szCs w:val="21"/>
                <w:highlight w:val="none"/>
              </w:rPr>
              <w:t>95598供电服务热线</w:t>
            </w:r>
          </w:p>
        </w:tc>
        <w:tc>
          <w:tcPr>
            <w:tcW w:w="1787" w:type="dxa"/>
            <w:vMerge w:val="continue"/>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1215"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055" w:type="dxa"/>
            <w:tcBorders>
              <w:top w:val="single" w:color="auto" w:sz="4" w:space="0"/>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val="en-US" w:eastAsia="zh-CN"/>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9"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投诉</w:t>
            </w:r>
          </w:p>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6"/>
                <w:sz w:val="21"/>
                <w:szCs w:val="24"/>
                <w:highlight w:val="none"/>
              </w:rPr>
              <w:t>渠道</w:t>
            </w:r>
          </w:p>
        </w:tc>
        <w:tc>
          <w:tcPr>
            <w:tcW w:w="2524" w:type="dxa"/>
            <w:gridSpan w:val="2"/>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95598</w:t>
            </w:r>
            <w:r>
              <w:rPr>
                <w:rFonts w:hint="eastAsia" w:ascii="方正仿宋_GBK" w:hAnsi="方正仿宋_GBK" w:eastAsia="方正仿宋_GBK" w:cs="方正仿宋_GBK"/>
                <w:spacing w:val="-6"/>
                <w:sz w:val="21"/>
                <w:szCs w:val="21"/>
                <w:highlight w:val="none"/>
              </w:rPr>
              <w:t>供电服务热线</w:t>
            </w:r>
          </w:p>
        </w:tc>
        <w:tc>
          <w:tcPr>
            <w:tcW w:w="1787"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pacing w:val="-6"/>
                <w:sz w:val="21"/>
                <w:szCs w:val="24"/>
                <w:highlight w:val="none"/>
              </w:rPr>
              <w:t>对外门户网站；网上国网APP；供电营业厅</w:t>
            </w:r>
          </w:p>
        </w:tc>
        <w:tc>
          <w:tcPr>
            <w:tcW w:w="1215"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营销部</w:t>
            </w:r>
          </w:p>
        </w:tc>
        <w:tc>
          <w:tcPr>
            <w:tcW w:w="205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524" w:type="dxa"/>
            <w:gridSpan w:val="2"/>
            <w:tcBorders>
              <w:top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z w:val="21"/>
                <w:szCs w:val="21"/>
                <w:highlight w:val="none"/>
              </w:rPr>
              <w:t>12398能源监管热线</w:t>
            </w:r>
          </w:p>
        </w:tc>
        <w:tc>
          <w:tcPr>
            <w:tcW w:w="1787" w:type="dxa"/>
            <w:vMerge w:val="restart"/>
            <w:tcBorders>
              <w:top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pacing w:val="-6"/>
                <w:sz w:val="21"/>
                <w:szCs w:val="24"/>
                <w:highlight w:val="none"/>
              </w:rPr>
              <w:t>对外门户网站、网上国网App、95598网站、供电营业厅、即时通讯软件、短信、移动客户端、各类业务单据</w:t>
            </w: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12398能源监管APP</w:t>
            </w:r>
          </w:p>
        </w:tc>
        <w:tc>
          <w:tcPr>
            <w:tcW w:w="1787"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2"/>
                <w:highlight w:val="none"/>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12398能源监管微信公众号</w:t>
            </w:r>
          </w:p>
        </w:tc>
        <w:tc>
          <w:tcPr>
            <w:tcW w:w="1787"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0"/>
                <w:sz w:val="21"/>
                <w:szCs w:val="24"/>
                <w:highlight w:val="none"/>
              </w:rPr>
              <w:t>供电服务所执行的法律法规以及企业制定的涉及用户利益的有关管理制度和技术标准</w:t>
            </w:r>
          </w:p>
        </w:tc>
        <w:tc>
          <w:tcPr>
            <w:tcW w:w="2524" w:type="dxa"/>
            <w:gridSpan w:val="2"/>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电力法、</w:t>
            </w:r>
            <w:r>
              <w:rPr>
                <w:rFonts w:hint="eastAsia" w:ascii="方正仿宋_GBK" w:hAnsi="方正仿宋_GBK" w:eastAsia="方正仿宋_GBK" w:cs="方正仿宋_GBK"/>
                <w:color w:val="000000"/>
                <w:kern w:val="0"/>
                <w:sz w:val="21"/>
                <w:szCs w:val="21"/>
                <w:highlight w:val="none"/>
                <w:lang w:bidi="ar"/>
              </w:rPr>
              <w:t>电力供应与使用条例、电力设施保护条例、供电监管办法、供电营业规则等法律法规</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对外门户网站</w:t>
            </w:r>
          </w:p>
        </w:tc>
        <w:tc>
          <w:tcPr>
            <w:tcW w:w="1215"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办公室</w:t>
            </w:r>
          </w:p>
          <w:p>
            <w:pPr>
              <w:spacing w:line="280" w:lineRule="exact"/>
              <w:jc w:val="center"/>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rPr>
              <w:t>营销部</w:t>
            </w:r>
            <w:r>
              <w:rPr>
                <w:rFonts w:hint="eastAsia" w:ascii="方正仿宋_GBK" w:hAnsi="方正仿宋_GBK" w:eastAsia="方正仿宋_GBK" w:cs="方正仿宋_GBK"/>
                <w:sz w:val="21"/>
                <w:szCs w:val="21"/>
                <w:highlight w:val="none"/>
                <w:lang w:eastAsia="zh-CN"/>
              </w:rPr>
              <w:t>及相关制度标准归口管理部门</w:t>
            </w:r>
          </w:p>
          <w:p>
            <w:pPr>
              <w:spacing w:line="280" w:lineRule="exact"/>
              <w:jc w:val="center"/>
              <w:rPr>
                <w:rFonts w:hint="eastAsia" w:ascii="方正仿宋_GBK" w:hAnsi="方正仿宋_GBK" w:eastAsia="方正仿宋_GBK" w:cs="方正仿宋_GBK"/>
                <w:sz w:val="21"/>
                <w:szCs w:val="24"/>
                <w:highlight w:val="none"/>
              </w:rPr>
            </w:pPr>
          </w:p>
        </w:tc>
        <w:tc>
          <w:tcPr>
            <w:tcW w:w="205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op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供电服务规范等电力行业技术标准</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p>
        </w:tc>
        <w:tc>
          <w:tcPr>
            <w:tcW w:w="1215"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05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1362" w:type="dxa"/>
            <w:gridSpan w:val="2"/>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rPr>
              <w:t>建设经营</w:t>
            </w:r>
          </w:p>
        </w:tc>
        <w:tc>
          <w:tcPr>
            <w:tcW w:w="2524" w:type="dxa"/>
            <w:gridSpan w:val="2"/>
            <w:tcBorders>
              <w:tl2br w:val="nil"/>
              <w:tr2bl w:val="nil"/>
            </w:tcBorders>
            <w:noWrap w:val="0"/>
            <w:vAlign w:val="center"/>
          </w:tcPr>
          <w:p>
            <w:pPr>
              <w:widowControl/>
              <w:spacing w:line="280" w:lineRule="exact"/>
              <w:textAlignment w:val="center"/>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pacing w:val="-6"/>
                <w:sz w:val="21"/>
                <w:szCs w:val="24"/>
                <w:highlight w:val="none"/>
              </w:rPr>
              <w:t>主要财务状况和经营成果</w:t>
            </w:r>
          </w:p>
        </w:tc>
        <w:tc>
          <w:tcPr>
            <w:tcW w:w="1787" w:type="dxa"/>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对外门户网站</w:t>
            </w:r>
          </w:p>
        </w:tc>
        <w:tc>
          <w:tcPr>
            <w:tcW w:w="1215" w:type="dxa"/>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eastAsia="zh-CN"/>
              </w:rPr>
              <w:t>财资部</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按年度更新。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1362" w:type="dxa"/>
            <w:gridSpan w:val="2"/>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524" w:type="dxa"/>
            <w:gridSpan w:val="2"/>
            <w:tcBorders>
              <w:tl2br w:val="nil"/>
              <w:tr2bl w:val="nil"/>
            </w:tcBorders>
            <w:noWrap w:val="0"/>
            <w:vAlign w:val="center"/>
          </w:tcPr>
          <w:p>
            <w:pPr>
              <w:widowControl/>
              <w:spacing w:line="280" w:lineRule="exact"/>
              <w:textAlignment w:val="center"/>
              <w:rPr>
                <w:rFonts w:hint="eastAsia" w:ascii="方正仿宋_GBK" w:hAnsi="方正仿宋_GBK" w:eastAsia="方正仿宋_GBK" w:cs="方正仿宋_GBK"/>
                <w:kern w:val="0"/>
                <w:sz w:val="21"/>
                <w:szCs w:val="21"/>
                <w:highlight w:val="none"/>
                <w:lang w:val="en-US" w:eastAsia="zh-CN"/>
              </w:rPr>
            </w:pPr>
            <w:r>
              <w:rPr>
                <w:rFonts w:hint="eastAsia" w:ascii="方正仿宋_GBK" w:hAnsi="方正仿宋_GBK" w:eastAsia="方正仿宋_GBK" w:cs="方正仿宋_GBK"/>
                <w:spacing w:val="-6"/>
                <w:sz w:val="21"/>
                <w:szCs w:val="24"/>
                <w:highlight w:val="none"/>
              </w:rPr>
              <w:t>国有资产保值增值情况</w:t>
            </w:r>
          </w:p>
        </w:tc>
        <w:tc>
          <w:tcPr>
            <w:tcW w:w="1787" w:type="dxa"/>
            <w:tcBorders>
              <w:top w:val="single" w:color="auto" w:sz="4" w:space="0"/>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对外门户网站</w:t>
            </w:r>
          </w:p>
        </w:tc>
        <w:tc>
          <w:tcPr>
            <w:tcW w:w="1215" w:type="dxa"/>
            <w:tcBorders>
              <w:top w:val="single" w:color="auto" w:sz="4" w:space="0"/>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财资部</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eastAsia="zh-CN"/>
              </w:rPr>
              <w:t>按年度更新。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tcBorders>
              <w:tl2br w:val="nil"/>
              <w:tr2bl w:val="nil"/>
            </w:tcBorders>
            <w:noWrap w:val="0"/>
            <w:vAlign w:val="center"/>
          </w:tcPr>
          <w:p>
            <w:pPr>
              <w:spacing w:line="280" w:lineRule="exact"/>
              <w:jc w:val="both"/>
              <w:rPr>
                <w:rFonts w:hint="eastAsia" w:ascii="方正仿宋_GBK" w:hAnsi="方正仿宋_GBK" w:eastAsia="方正仿宋_GBK" w:cs="方正仿宋_GBK"/>
                <w:spacing w:val="0"/>
                <w:sz w:val="21"/>
                <w:szCs w:val="24"/>
                <w:highlight w:val="none"/>
              </w:rPr>
            </w:pPr>
            <w:r>
              <w:rPr>
                <w:rFonts w:hint="eastAsia" w:ascii="方正仿宋_GBK" w:hAnsi="方正仿宋_GBK" w:eastAsia="方正仿宋_GBK" w:cs="方正仿宋_GBK"/>
                <w:spacing w:val="0"/>
                <w:sz w:val="21"/>
                <w:szCs w:val="24"/>
                <w:highlight w:val="none"/>
              </w:rPr>
              <w:t>招标采购过程中依法可以公开的信息</w:t>
            </w:r>
          </w:p>
        </w:tc>
        <w:tc>
          <w:tcPr>
            <w:tcW w:w="18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kern w:val="0"/>
                <w:sz w:val="21"/>
                <w:szCs w:val="21"/>
                <w:highlight w:val="none"/>
              </w:rPr>
              <w:t>招标（采购）公告、推荐中标候选人公示、招标（采购）结果公告、否决投标原因公示、浮动系数抽取结果公示</w:t>
            </w:r>
          </w:p>
        </w:tc>
        <w:tc>
          <w:tcPr>
            <w:tcW w:w="1787" w:type="dxa"/>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电子商务平台</w:t>
            </w:r>
            <w:r>
              <w:rPr>
                <w:rFonts w:hint="eastAsia" w:ascii="方正仿宋_GBK" w:hAnsi="方正仿宋_GBK" w:eastAsia="方正仿宋_GBK" w:cs="方正仿宋_GBK"/>
                <w:spacing w:val="-6"/>
                <w:sz w:val="21"/>
                <w:szCs w:val="24"/>
                <w:highlight w:val="none"/>
                <w:lang w:eastAsia="zh-CN"/>
              </w:rPr>
              <w:t>；</w:t>
            </w:r>
          </w:p>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rPr>
              <w:t>中国招标投标公共服务平台</w:t>
            </w:r>
          </w:p>
        </w:tc>
        <w:tc>
          <w:tcPr>
            <w:tcW w:w="1215" w:type="dxa"/>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物资部</w:t>
            </w:r>
          </w:p>
        </w:tc>
        <w:tc>
          <w:tcPr>
            <w:tcW w:w="205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根据批次安排时间</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restart"/>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物资采购相关信息</w:t>
            </w:r>
          </w:p>
        </w:tc>
        <w:tc>
          <w:tcPr>
            <w:tcW w:w="18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年度采购计划</w:t>
            </w:r>
          </w:p>
        </w:tc>
        <w:tc>
          <w:tcPr>
            <w:tcW w:w="1787"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电子商务平台</w:t>
            </w:r>
          </w:p>
        </w:tc>
        <w:tc>
          <w:tcPr>
            <w:tcW w:w="1215"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物资部</w:t>
            </w:r>
          </w:p>
        </w:tc>
        <w:tc>
          <w:tcPr>
            <w:tcW w:w="205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lang w:eastAsia="zh-CN"/>
              </w:rPr>
              <w:t>每年第一季度公开。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continue"/>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p>
        </w:tc>
        <w:tc>
          <w:tcPr>
            <w:tcW w:w="18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采购标准</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121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4"/>
                <w:highlight w:val="none"/>
              </w:rPr>
            </w:pPr>
          </w:p>
        </w:tc>
        <w:tc>
          <w:tcPr>
            <w:tcW w:w="205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不定期更新</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continue"/>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p>
        </w:tc>
        <w:tc>
          <w:tcPr>
            <w:tcW w:w="18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供应商不良行为处理情况的通报</w:t>
            </w:r>
          </w:p>
        </w:tc>
        <w:tc>
          <w:tcPr>
            <w:tcW w:w="1787"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121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4"/>
                <w:highlight w:val="none"/>
              </w:rPr>
            </w:pPr>
          </w:p>
        </w:tc>
        <w:tc>
          <w:tcPr>
            <w:tcW w:w="205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每年2、5、8、11月</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工程建设环评水保信息</w:t>
            </w:r>
          </w:p>
        </w:tc>
        <w:tc>
          <w:tcPr>
            <w:tcW w:w="1831" w:type="dxa"/>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电网项目环境影响报告公示</w:t>
            </w:r>
          </w:p>
        </w:tc>
        <w:tc>
          <w:tcPr>
            <w:tcW w:w="1787" w:type="dxa"/>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对外门户网站</w:t>
            </w:r>
          </w:p>
        </w:tc>
        <w:tc>
          <w:tcPr>
            <w:tcW w:w="1215" w:type="dxa"/>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val="en-US" w:eastAsia="zh-CN"/>
              </w:rPr>
              <w:t>发策</w:t>
            </w:r>
            <w:r>
              <w:rPr>
                <w:rFonts w:hint="eastAsia" w:ascii="方正仿宋_GBK" w:hAnsi="方正仿宋_GBK" w:eastAsia="方正仿宋_GBK" w:cs="方正仿宋_GBK"/>
                <w:sz w:val="21"/>
                <w:szCs w:val="24"/>
                <w:highlight w:val="none"/>
                <w:lang w:eastAsia="zh-CN"/>
              </w:rPr>
              <w:t>部</w:t>
            </w:r>
          </w:p>
        </w:tc>
        <w:tc>
          <w:tcPr>
            <w:tcW w:w="205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val="en-US" w:eastAsia="zh-CN"/>
              </w:rPr>
              <w:t>报告形成后5个工作日内公开</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7" w:hRule="atLeast"/>
          <w:jc w:val="center"/>
        </w:trPr>
        <w:tc>
          <w:tcPr>
            <w:tcW w:w="1362" w:type="dxa"/>
            <w:gridSpan w:val="2"/>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其他信息</w:t>
            </w:r>
          </w:p>
        </w:tc>
        <w:tc>
          <w:tcPr>
            <w:tcW w:w="2524" w:type="dxa"/>
            <w:gridSpan w:val="2"/>
            <w:tcBorders>
              <w:tl2br w:val="nil"/>
              <w:tr2bl w:val="nil"/>
            </w:tcBorders>
            <w:noWrap w:val="0"/>
            <w:vAlign w:val="center"/>
          </w:tcPr>
          <w:p>
            <w:pPr>
              <w:widowControl/>
              <w:spacing w:line="280" w:lineRule="exact"/>
              <w:textAlignment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经公司信息公开领导小组决定，应当主动公开的相关信息</w:t>
            </w:r>
          </w:p>
        </w:tc>
        <w:tc>
          <w:tcPr>
            <w:tcW w:w="5057" w:type="dxa"/>
            <w:gridSpan w:val="3"/>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bl>
    <w:p/>
    <w:p/>
    <w:sectPr>
      <w:pgSz w:w="11906" w:h="16838"/>
      <w:pgMar w:top="1984" w:right="1417" w:bottom="1417" w:left="141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43F1F"/>
    <w:rsid w:val="03B32A84"/>
    <w:rsid w:val="0BC111D9"/>
    <w:rsid w:val="114D1422"/>
    <w:rsid w:val="18C32AAE"/>
    <w:rsid w:val="2A222295"/>
    <w:rsid w:val="31F5344E"/>
    <w:rsid w:val="33C04718"/>
    <w:rsid w:val="361C5E2F"/>
    <w:rsid w:val="3ECB78F8"/>
    <w:rsid w:val="40FA4471"/>
    <w:rsid w:val="43EA1297"/>
    <w:rsid w:val="4A5D176D"/>
    <w:rsid w:val="67533B10"/>
    <w:rsid w:val="69971DC7"/>
    <w:rsid w:val="72A43F1F"/>
    <w:rsid w:val="77285CAC"/>
    <w:rsid w:val="796164DA"/>
    <w:rsid w:val="7DB13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Lines="0" w:beforeAutospacing="0" w:afterLines="0" w:afterAutospacing="0" w:line="580" w:lineRule="exact"/>
      <w:ind w:firstLine="0" w:firstLineChars="0"/>
      <w:jc w:val="center"/>
      <w:outlineLvl w:val="0"/>
    </w:pPr>
    <w:rPr>
      <w:rFonts w:ascii="方正小标宋简体" w:hAnsi="方正小标宋简体" w:eastAsia="方正小标宋简体"/>
      <w:kern w:val="44"/>
      <w:sz w:val="44"/>
    </w:rPr>
  </w:style>
  <w:style w:type="paragraph" w:styleId="4">
    <w:name w:val="heading 2"/>
    <w:basedOn w:val="1"/>
    <w:next w:val="1"/>
    <w:link w:val="10"/>
    <w:semiHidden/>
    <w:unhideWhenUsed/>
    <w:qFormat/>
    <w:uiPriority w:val="0"/>
    <w:pPr>
      <w:keepNext/>
      <w:keepLines/>
      <w:spacing w:beforeLines="0" w:beforeAutospacing="0" w:afterLines="0" w:afterAutospacing="0" w:line="580" w:lineRule="exact"/>
      <w:outlineLvl w:val="1"/>
    </w:pPr>
    <w:rPr>
      <w:rFonts w:ascii="黑体" w:hAnsi="黑体" w:eastAsia="黑体" w:cs="Times New Roman"/>
    </w:rPr>
  </w:style>
  <w:style w:type="paragraph" w:styleId="5">
    <w:name w:val="heading 3"/>
    <w:basedOn w:val="1"/>
    <w:next w:val="1"/>
    <w:semiHidden/>
    <w:unhideWhenUsed/>
    <w:qFormat/>
    <w:uiPriority w:val="0"/>
    <w:pPr>
      <w:keepNext/>
      <w:keepLines/>
      <w:spacing w:beforeLines="0" w:beforeAutospacing="0" w:afterLines="0" w:afterAutospacing="0" w:line="580" w:lineRule="exact"/>
      <w:outlineLvl w:val="2"/>
    </w:pPr>
    <w:rPr>
      <w:rFonts w:ascii="楷体_GB2312" w:hAnsi="楷体_GB2312" w:eastAsia="楷体_GB231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customStyle="1" w:styleId="8">
    <w:name w:val="样式1"/>
    <w:basedOn w:val="1"/>
    <w:qFormat/>
    <w:uiPriority w:val="0"/>
    <w:pPr>
      <w:jc w:val="left"/>
    </w:pPr>
    <w:rPr>
      <w:rFonts w:hint="eastAsia" w:eastAsia="仿宋_GB2312" w:asciiTheme="minorAscii" w:hAnsiTheme="minorAscii"/>
      <w:sz w:val="32"/>
    </w:rPr>
  </w:style>
  <w:style w:type="paragraph" w:customStyle="1" w:styleId="9">
    <w:name w:val="样式2"/>
    <w:basedOn w:val="1"/>
    <w:qFormat/>
    <w:uiPriority w:val="0"/>
    <w:pPr>
      <w:ind w:leftChars="300"/>
      <w:jc w:val="left"/>
    </w:pPr>
    <w:rPr>
      <w:rFonts w:hint="eastAsia" w:eastAsia="仿宋_GB2312" w:asciiTheme="minorAscii" w:hAnsiTheme="minorAscii"/>
      <w:sz w:val="32"/>
    </w:rPr>
  </w:style>
  <w:style w:type="character" w:customStyle="1" w:styleId="10">
    <w:name w:val="标题 2 Char"/>
    <w:link w:val="4"/>
    <w:qFormat/>
    <w:uiPriority w:val="0"/>
    <w:rPr>
      <w:rFonts w:ascii="黑体" w:hAnsi="黑体" w:eastAsia="黑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2025-05-22T07:59:00Z</dcterms:created>
  <dc:creator>程丹</dc:creator>
  <cp:lastModifiedBy>administrator</cp:lastModifiedBy>
  <dcterms:modified xsi:type="dcterms:W3CDTF">2025-07-08T07:38:29Z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F4B8115B9EF940D68FCD8F8E6BE64B7F</vt:lpwstr>
  </property>
</Properties>
</file>